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2B7" w:rsidRDefault="00E442B7" w:rsidP="00E442B7">
      <w:pPr>
        <w:contextualSpacing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</w:t>
      </w:r>
      <w:r w:rsidR="006A1C11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к единой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учетной политике</w:t>
      </w:r>
    </w:p>
    <w:p w:rsidR="00E442B7" w:rsidRDefault="00E442B7" w:rsidP="00E442B7">
      <w:pPr>
        <w:contextualSpacing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централизованного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бухгалтерского учета</w:t>
      </w:r>
    </w:p>
    <w:p w:rsidR="002705DA" w:rsidRDefault="002705DA" w:rsidP="00990617">
      <w:pPr>
        <w:ind w:firstLine="426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2705DA" w:rsidRDefault="002705DA" w:rsidP="00990617">
      <w:pPr>
        <w:ind w:firstLine="426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2705DA" w:rsidRPr="00990617" w:rsidRDefault="00BD1492" w:rsidP="00A757D9">
      <w:pPr>
        <w:ind w:firstLine="426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b/>
          <w:color w:val="000000"/>
          <w:sz w:val="24"/>
          <w:szCs w:val="24"/>
          <w:lang w:val="ru-RU"/>
        </w:rPr>
        <w:t>ПОЛОЖЕНИЕ</w:t>
      </w:r>
      <w:r w:rsidRPr="003E0CC9">
        <w:rPr>
          <w:b/>
          <w:lang w:val="ru-RU"/>
        </w:rPr>
        <w:br/>
      </w:r>
      <w:r w:rsidRPr="003E0CC9">
        <w:rPr>
          <w:rFonts w:hAnsi="Times New Roman" w:cs="Times New Roman"/>
          <w:b/>
          <w:color w:val="000000"/>
          <w:sz w:val="24"/>
          <w:szCs w:val="24"/>
          <w:lang w:val="ru-RU"/>
        </w:rPr>
        <w:t>о комиссии по поступлению и выбытию активов</w:t>
      </w:r>
      <w:bookmarkStart w:id="0" w:name="_GoBack"/>
      <w:bookmarkEnd w:id="0"/>
    </w:p>
    <w:p w:rsidR="009E2BFF" w:rsidRPr="00990617" w:rsidRDefault="00BD1492" w:rsidP="00E442B7">
      <w:pPr>
        <w:ind w:firstLine="426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06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E2BFF" w:rsidRPr="003E0CC9" w:rsidRDefault="00BD1492" w:rsidP="003E0CC9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 xml:space="preserve">Комиссия по поступлению и выбытию активов </w:t>
      </w:r>
      <w:r w:rsidR="00E442B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="003E0CC9" w:rsidRPr="003E0C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– Комиссия) создана для принятия решения о поступлении, выбытии, внутреннем перемещении движимого и недвижимого имущества, нематериальных активов и материальных запасов, а также для списания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дебиторской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задолженности.</w:t>
      </w:r>
    </w:p>
    <w:p w:rsidR="009E2BFF" w:rsidRPr="003E0CC9" w:rsidRDefault="00BD1492" w:rsidP="003E0CC9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Комиссия в своей работе руководствуется:</w:t>
      </w:r>
    </w:p>
    <w:p w:rsidR="009E2BFF" w:rsidRPr="003E0CC9" w:rsidRDefault="00BD1492" w:rsidP="003E0CC9">
      <w:pPr>
        <w:numPr>
          <w:ilvl w:val="0"/>
          <w:numId w:val="1"/>
        </w:numPr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Законом от 06.12.2011 № 402-ФЗ «О бухгалтерском учете»;</w:t>
      </w:r>
    </w:p>
    <w:p w:rsidR="009E2BFF" w:rsidRPr="003E0CC9" w:rsidRDefault="00BD1492" w:rsidP="003E0CC9">
      <w:pPr>
        <w:numPr>
          <w:ilvl w:val="0"/>
          <w:numId w:val="1"/>
        </w:numPr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Инструкцией по применению Единого плана счетов бухгалтерского учета для органов государственной власти (государственных органов), органов местного самоуправления, органов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управления государственными внебюджетными фондами, государственных академий наук,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 (муниципальных) учреждений, утвержденной приказом Минфина от 01.12.2010 № 157н (далее – Инструкция № 157н);</w:t>
      </w:r>
    </w:p>
    <w:p w:rsidR="009E2BFF" w:rsidRPr="003E0CC9" w:rsidRDefault="00BD1492" w:rsidP="003E0CC9">
      <w:pPr>
        <w:numPr>
          <w:ilvl w:val="0"/>
          <w:numId w:val="1"/>
        </w:numPr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Общероссийским классификатором основных фондов ОК 013-2014 (СНС 2008),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Росстандарта</w:t>
      </w:r>
      <w:proofErr w:type="spellEnd"/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 xml:space="preserve"> от 12.12.2014 № 2018-ст (далее – ОКОФ);</w:t>
      </w:r>
    </w:p>
    <w:p w:rsidR="009E2BFF" w:rsidRPr="003E0CC9" w:rsidRDefault="00BD1492" w:rsidP="003E0CC9">
      <w:pPr>
        <w:numPr>
          <w:ilvl w:val="0"/>
          <w:numId w:val="1"/>
        </w:numPr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Правительства от 01.01.2002 № 1 «О Классификации основных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средств, включаемых в амортизационные группы»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(далее – Постановление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1);</w:t>
      </w:r>
    </w:p>
    <w:p w:rsidR="009E2BFF" w:rsidRPr="003E0CC9" w:rsidRDefault="00BD1492" w:rsidP="003E0CC9">
      <w:pPr>
        <w:numPr>
          <w:ilvl w:val="0"/>
          <w:numId w:val="1"/>
        </w:numPr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Федеральным стандартом «Основные средства», утвержденным приказом Минфина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31.12.2016 № 257н;</w:t>
      </w:r>
    </w:p>
    <w:p w:rsidR="009E2BFF" w:rsidRPr="003E0CC9" w:rsidRDefault="00BD1492" w:rsidP="003E0CC9">
      <w:pPr>
        <w:numPr>
          <w:ilvl w:val="0"/>
          <w:numId w:val="1"/>
        </w:numPr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Федеральным стандартом «Концептуальные основы бухгалтерского учета и отчетности организаций государственного сектора», утвержденным приказом Минфина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от 31.12.2016 № 256н;</w:t>
      </w:r>
    </w:p>
    <w:p w:rsidR="009E2BFF" w:rsidRPr="003E0CC9" w:rsidRDefault="00BD1492" w:rsidP="003E0CC9">
      <w:pPr>
        <w:numPr>
          <w:ilvl w:val="0"/>
          <w:numId w:val="1"/>
        </w:numPr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Федеральным стандартом «Обесценение активов», утвержденным приказом Минфина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от 31.12.2016 № 259н;</w:t>
      </w:r>
    </w:p>
    <w:p w:rsidR="009E2BFF" w:rsidRPr="003E0CC9" w:rsidRDefault="00BD1492" w:rsidP="003E0CC9">
      <w:pPr>
        <w:numPr>
          <w:ilvl w:val="0"/>
          <w:numId w:val="1"/>
        </w:numPr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Федеральным стандартом «Доходы», утвержденным приказом Минфина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от 27.02.2018 № 32н;</w:t>
      </w:r>
    </w:p>
    <w:p w:rsidR="009E2BFF" w:rsidRPr="003E0CC9" w:rsidRDefault="00BD1492" w:rsidP="003E0CC9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Федеральным стандартом «Запасы», утвержденным приказом Минфина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от 07.12.2018 № 256н;</w:t>
      </w:r>
    </w:p>
    <w:p w:rsidR="009E2BFF" w:rsidRPr="003E0CC9" w:rsidRDefault="00BD1492" w:rsidP="003E0CC9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Федеральным стандартом «Нематериальные активы»,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15.11.2019 № 181н;</w:t>
      </w:r>
    </w:p>
    <w:p w:rsidR="009E2BFF" w:rsidRPr="003E0CC9" w:rsidRDefault="00BD1492" w:rsidP="003E0CC9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Федеральным стандартом «Непроизведенные активы», утвержденным приказом Минфина от 28.02.2018 № 34н;</w:t>
      </w:r>
    </w:p>
    <w:p w:rsidR="009E2BFF" w:rsidRDefault="00BD1492" w:rsidP="003E0CC9">
      <w:pPr>
        <w:numPr>
          <w:ilvl w:val="0"/>
          <w:numId w:val="1"/>
        </w:numPr>
        <w:tabs>
          <w:tab w:val="clear" w:pos="720"/>
        </w:tabs>
        <w:ind w:left="0" w:right="180" w:firstLine="49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приказом Минфина от 30.03.2015 № 52н «Об утверждении форм первичных учетных документов и регистров бухгалтерского учета, применяемых органами государственной власти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(государственными органами), органами местного самоуправления, органами управления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 внебюджетными фондами, государственными (муниципальными)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 xml:space="preserve">учреждениями, и Методических указаний по их применению»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далее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№ 52н);</w:t>
      </w:r>
    </w:p>
    <w:p w:rsidR="009E2BFF" w:rsidRDefault="00BD1492" w:rsidP="003E0CC9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 xml:space="preserve">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далее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№ 61н);</w:t>
      </w:r>
    </w:p>
    <w:p w:rsidR="009E2BFF" w:rsidRPr="003E0CC9" w:rsidRDefault="00BD1492" w:rsidP="003E0CC9">
      <w:pPr>
        <w:numPr>
          <w:ilvl w:val="0"/>
          <w:numId w:val="1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иными нормативными правовыми актами, регламентирующими порядок списания, передачи, реализации основных средств, нематериальных активов, материальных запасов.</w:t>
      </w:r>
    </w:p>
    <w:p w:rsidR="009E2BFF" w:rsidRPr="003E0CC9" w:rsidRDefault="00BD1492" w:rsidP="00E442B7">
      <w:pPr>
        <w:ind w:firstLine="426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работы Комиссии</w:t>
      </w:r>
    </w:p>
    <w:p w:rsidR="009E2BFF" w:rsidRPr="003E0CC9" w:rsidRDefault="00BD1492" w:rsidP="003E0CC9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 xml:space="preserve">2.1. Комиссия по поступлению и выбытию активов состоит </w:t>
      </w:r>
      <w:r w:rsidR="00E442B7">
        <w:rPr>
          <w:rFonts w:hAnsi="Times New Roman" w:cs="Times New Roman"/>
          <w:color w:val="000000"/>
          <w:sz w:val="24"/>
          <w:szCs w:val="24"/>
          <w:lang w:val="ru-RU"/>
        </w:rPr>
        <w:t xml:space="preserve">не менее чем 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из 4 (четырех) человек. Персональный состав Комиссии утверждается приказом руководителя учреждения.</w:t>
      </w:r>
    </w:p>
    <w:p w:rsidR="009E2BFF" w:rsidRPr="003E0CC9" w:rsidRDefault="00BD1492" w:rsidP="003E0CC9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2.2. Комиссию возглавляет председатель, который осуществляет общее руководство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деятельностью Комиссии, обеспечивает коллегиальность в обсуждении спорных вопросов, распределяет обязанности и дает поручения членам Комиссии.</w:t>
      </w:r>
    </w:p>
    <w:p w:rsidR="009E2BFF" w:rsidRPr="003E0CC9" w:rsidRDefault="00BD1492" w:rsidP="003E0CC9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При отсутствии работников учреждения, обладающих специальными знаниями, для участия в заседаниях комиссии могут приглашаться эксперты. Экспертом не может быть ответственное лицо учреждения, на которое возложена ответственность за материальные ценности, в отношении которых принимается решение о списании.</w:t>
      </w:r>
    </w:p>
    <w:p w:rsidR="009E2BFF" w:rsidRPr="003E0CC9" w:rsidRDefault="00BD1492" w:rsidP="003E0CC9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2.4. Комиссия проводит заседания по мере необходимости.</w:t>
      </w:r>
    </w:p>
    <w:p w:rsidR="009E2BFF" w:rsidRPr="003E0CC9" w:rsidRDefault="00BD1492" w:rsidP="003E0CC9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2.5. Срок рассмотрения Комиссией представленных ей документов не должен превышать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5 рабочих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дней.</w:t>
      </w:r>
    </w:p>
    <w:p w:rsidR="009E2BFF" w:rsidRPr="003E0CC9" w:rsidRDefault="00BD1492" w:rsidP="003E0CC9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2.6. Решение комиссии принимается открытым голосованием – не менее 2/3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общего числа голосов членов Комиссии.</w:t>
      </w:r>
    </w:p>
    <w:p w:rsidR="009E2BFF" w:rsidRPr="003E0CC9" w:rsidRDefault="00BD1492" w:rsidP="003E0CC9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Решения Комиссии считаются правомочными, если на заседании присутствует не менее 2/3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от общего числа ее членов.</w:t>
      </w:r>
    </w:p>
    <w:p w:rsidR="009E2BFF" w:rsidRPr="003E0CC9" w:rsidRDefault="00BD1492" w:rsidP="003E0CC9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Председатель не имеет права решающего голоса при принятии решений Комиссией.</w:t>
      </w:r>
    </w:p>
    <w:p w:rsidR="002705DA" w:rsidRDefault="00BD1492" w:rsidP="002705DA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Решение Комиссии оформляется протоколом, который подписывают председатель и члены комиссии, присутствующие на заседании.</w:t>
      </w:r>
    </w:p>
    <w:p w:rsidR="002705DA" w:rsidRPr="002705DA" w:rsidRDefault="002705DA" w:rsidP="002705DA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E2BFF" w:rsidRPr="003E0CC9" w:rsidRDefault="00BD1492" w:rsidP="003E0CC9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Функции Комиссии</w:t>
      </w:r>
    </w:p>
    <w:p w:rsidR="009E2BFF" w:rsidRPr="003E0CC9" w:rsidRDefault="00BD1492" w:rsidP="003E0CC9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3.1. Комиссия принимает решения по следующим вопросам:</w:t>
      </w:r>
    </w:p>
    <w:p w:rsidR="009E2BFF" w:rsidRPr="003E0CC9" w:rsidRDefault="00BD1492" w:rsidP="003E0CC9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3.1.1. выявление при приемке товаров ненадлежащего качества;</w:t>
      </w:r>
    </w:p>
    <w:p w:rsidR="009E2BFF" w:rsidRPr="003E0CC9" w:rsidRDefault="00BD1492" w:rsidP="003E0CC9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3.1.2. определение, какое имущество в учреждении считается активом, то есть приносит экономическую выгоду или имеет полезный потенциал;</w:t>
      </w:r>
    </w:p>
    <w:p w:rsidR="009E2BFF" w:rsidRPr="003E0CC9" w:rsidRDefault="00BD1492" w:rsidP="003E0CC9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3.1.3. отнесение категории поступающего имущества: основное средство, нематериальные активы, непроизведенные активы или материальные запасы;</w:t>
      </w:r>
    </w:p>
    <w:p w:rsidR="009E2BFF" w:rsidRPr="003E0CC9" w:rsidRDefault="00BD1492" w:rsidP="003E0CC9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3.1.4. определение признаков отнесения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к особо ценному движимому имуществу;</w:t>
      </w:r>
    </w:p>
    <w:p w:rsidR="009E2BFF" w:rsidRPr="003E0CC9" w:rsidRDefault="00BD1492" w:rsidP="003E0CC9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3.1.5. определение группы аналитического учета активов и кодов по ОКОФ;</w:t>
      </w:r>
    </w:p>
    <w:p w:rsidR="009E2BFF" w:rsidRPr="003E0CC9" w:rsidRDefault="00BD1492" w:rsidP="003E0CC9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3.1.6. определение срока полезного использования основных средств и нематериальных активов и способа начисления амортизации;</w:t>
      </w:r>
    </w:p>
    <w:p w:rsidR="009E2BFF" w:rsidRPr="003E0CC9" w:rsidRDefault="00BD1492" w:rsidP="003E0CC9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3.1.7. определение первоначальной (фактической) стоимости поступающих к учету основных средств, нематериальных активов, материальных запасов;</w:t>
      </w:r>
    </w:p>
    <w:p w:rsidR="009E2BFF" w:rsidRPr="003E0CC9" w:rsidRDefault="00BD1492" w:rsidP="003E0CC9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3.1.8. изменение стоимости основных средств и срока их полезного использования в случаях изменения первоначально принятых нормативных показателей функционирования объекта основных средств, в том числе в результате проведенной достройки, дооборудования, реконструкции или модернизации;</w:t>
      </w:r>
    </w:p>
    <w:p w:rsidR="009E2BFF" w:rsidRPr="003E0CC9" w:rsidRDefault="00BD1492" w:rsidP="003E0CC9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3.1.9. установление правил объединения объектов с несущественной стоимостью в единый комплекс;</w:t>
      </w:r>
    </w:p>
    <w:p w:rsidR="009E2BFF" w:rsidRPr="003E0CC9" w:rsidRDefault="00BD1492" w:rsidP="003E0CC9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3.1.10. изъятие и передача материально ответственному лицу из списываемых основных средств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пригодных узлов, деталей, конструкций и материалов, драгоценных металлов и камней, цветных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металлов и постановка их на учет;</w:t>
      </w:r>
    </w:p>
    <w:p w:rsidR="009E2BFF" w:rsidRPr="003E0CC9" w:rsidRDefault="00BD1492" w:rsidP="003E0CC9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3.1.11. определение справедливой стоимости объектов нефинансовых активов, выявленных 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в виде излишков, ущербов, а также полученных безвозмездно от юридических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физических лиц;</w:t>
      </w:r>
    </w:p>
    <w:p w:rsidR="009E2BFF" w:rsidRPr="003E0CC9" w:rsidRDefault="00BD1492" w:rsidP="003E0CC9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3.1.12. определение признаков обесценения активов;</w:t>
      </w:r>
    </w:p>
    <w:p w:rsidR="009E2BFF" w:rsidRPr="003E0CC9" w:rsidRDefault="00BD1492" w:rsidP="003E0CC9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3.1.13. принятие к учету поступивших основных средств, нематериальных активов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оформлением соответствующих первичных учетных документов, в том числе объектов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движимого имущества стоимостью до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 xml:space="preserve">руб. включительно, учитываемых на </w:t>
      </w:r>
      <w:proofErr w:type="spellStart"/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забалансовом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учете;</w:t>
      </w:r>
    </w:p>
    <w:p w:rsidR="009E2BFF" w:rsidRPr="003E0CC9" w:rsidRDefault="00BD1492" w:rsidP="003E0CC9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3.1.14. определение целесообразности (пригодности) дальнейшего использования основных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средств и нематериальных активов, возможности и эффективности их восстановления;</w:t>
      </w:r>
    </w:p>
    <w:p w:rsidR="009E2BFF" w:rsidRPr="003E0CC9" w:rsidRDefault="00BD1492" w:rsidP="003E0CC9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3.1.15. списание (выбытие) основных средств, нематериальных активов, непроизведенных активов в установленном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порядке, в том числе объектов движимого имущества стоимостью до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руб. включительно,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 xml:space="preserve">учитываемых на </w:t>
      </w:r>
      <w:proofErr w:type="spellStart"/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забалансовом</w:t>
      </w:r>
      <w:proofErr w:type="spellEnd"/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 xml:space="preserve"> учете;</w:t>
      </w:r>
    </w:p>
    <w:p w:rsidR="009E2BFF" w:rsidRPr="003E0CC9" w:rsidRDefault="00BD1492" w:rsidP="003E0CC9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3.1.16. определение возможности использовать отдельные узлы, детали, конструкции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материалы от выбывающих основных средств и их первоначальной стоимости;</w:t>
      </w:r>
    </w:p>
    <w:p w:rsidR="009E2BFF" w:rsidRPr="003E0CC9" w:rsidRDefault="00BD1492" w:rsidP="003E0CC9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3.1.17. списание (выбытие) материальных запасов, за исключением выбытия в результате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потребления на нужды учреждения, с оформлением соответствующих первичных учетных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документов;</w:t>
      </w:r>
    </w:p>
    <w:p w:rsidR="009E2BFF" w:rsidRPr="003E0CC9" w:rsidRDefault="00BD1492" w:rsidP="003E0CC9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3.1.18. осуществление сверок с дебиторами с целью принятия решения о списании дебиторской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задолженности;</w:t>
      </w:r>
    </w:p>
    <w:p w:rsidR="009E2BFF" w:rsidRPr="003E0CC9" w:rsidRDefault="00BD1492" w:rsidP="003E0CC9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3.1.19. списание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 xml:space="preserve">с балансового учета учреждения задолженности неплатежеспособных дебиторов, а также списание с </w:t>
      </w:r>
      <w:proofErr w:type="spellStart"/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забалансового</w:t>
      </w:r>
      <w:proofErr w:type="spellEnd"/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 xml:space="preserve"> учета задолженности, признанной безнадежной к взысканию (в случае наличия документов, подтверждающих прекращение обязательства смертью (ликвидацией) дебитора, а также в иных случаях, предусмотренных законодательством РФ);</w:t>
      </w:r>
    </w:p>
    <w:p w:rsidR="009E2BFF" w:rsidRPr="003E0CC9" w:rsidRDefault="00BD1492" w:rsidP="003E0CC9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 xml:space="preserve">3.1.20. признание дебиторской задолженности безнадежной для взыскания в целях списания с балансового и </w:t>
      </w:r>
      <w:proofErr w:type="spellStart"/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забалансового</w:t>
      </w:r>
      <w:proofErr w:type="spellEnd"/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 xml:space="preserve"> учета;</w:t>
      </w:r>
    </w:p>
    <w:p w:rsidR="009E2BFF" w:rsidRPr="003E0CC9" w:rsidRDefault="00BD1492" w:rsidP="003E0CC9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3.1.21. участие в передаче материальных ценностей при смене материально-ответственных лиц;</w:t>
      </w:r>
    </w:p>
    <w:p w:rsidR="009E2BFF" w:rsidRPr="003E0CC9" w:rsidRDefault="00BD1492" w:rsidP="003E0CC9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3.1.22. контроль за нанесением инвентарных номеров материально ответственными лицами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на соответствующих объектах основных средств.</w:t>
      </w:r>
    </w:p>
    <w:p w:rsidR="009E2BFF" w:rsidRPr="003E0CC9" w:rsidRDefault="00BD1492" w:rsidP="003E0CC9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3.2. Уполномоченный член комиссии оформляет первичные учетные документы:</w:t>
      </w:r>
    </w:p>
    <w:p w:rsidR="009E2BFF" w:rsidRPr="003E0CC9" w:rsidRDefault="00BD1492" w:rsidP="003E0CC9">
      <w:pPr>
        <w:numPr>
          <w:ilvl w:val="0"/>
          <w:numId w:val="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Решение о признании объектов нефинансовых активов (ф. 0510441);</w:t>
      </w:r>
    </w:p>
    <w:p w:rsidR="009E2BFF" w:rsidRPr="003E0CC9" w:rsidRDefault="00BD1492" w:rsidP="003E0CC9">
      <w:pPr>
        <w:numPr>
          <w:ilvl w:val="0"/>
          <w:numId w:val="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Решение о прекращении признания активами НФА (ф. 0510440);</w:t>
      </w:r>
    </w:p>
    <w:p w:rsidR="009E2BFF" w:rsidRPr="003E0CC9" w:rsidRDefault="00BD1492" w:rsidP="003E0CC9">
      <w:pPr>
        <w:numPr>
          <w:ilvl w:val="0"/>
          <w:numId w:val="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Акт о приеме-передаче объектов нефинансовых активов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0504101 или ф. 0510448);</w:t>
      </w:r>
      <w:r>
        <w:rPr>
          <w:rFonts w:hAnsi="Times New Roman" w:cs="Times New Roman"/>
          <w:color w:val="000000"/>
          <w:sz w:val="24"/>
          <w:szCs w:val="24"/>
        </w:rPr>
        <w:t>  </w:t>
      </w:r>
    </w:p>
    <w:p w:rsidR="009E2BFF" w:rsidRPr="003E0CC9" w:rsidRDefault="00BD1492" w:rsidP="003E0CC9">
      <w:pPr>
        <w:numPr>
          <w:ilvl w:val="0"/>
          <w:numId w:val="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Приходный ордер на приемку материальных ценностей (нефинансовых активов)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0504207);</w:t>
      </w:r>
    </w:p>
    <w:p w:rsidR="009E2BFF" w:rsidRPr="003E0CC9" w:rsidRDefault="00BD1492" w:rsidP="003E0CC9">
      <w:pPr>
        <w:numPr>
          <w:ilvl w:val="0"/>
          <w:numId w:val="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Акт приемки (ф. 0504220 или ф. 0510452);</w:t>
      </w:r>
    </w:p>
    <w:p w:rsidR="009E2BFF" w:rsidRPr="003E0CC9" w:rsidRDefault="00BD1492" w:rsidP="003E0CC9">
      <w:pPr>
        <w:numPr>
          <w:ilvl w:val="0"/>
          <w:numId w:val="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приема-сдачи отремонтированных, реконструированных и модернизированных объектов основных средств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0504103);</w:t>
      </w:r>
    </w:p>
    <w:p w:rsidR="009E2BFF" w:rsidRPr="003E0CC9" w:rsidRDefault="00BD1492" w:rsidP="003E0CC9">
      <w:pPr>
        <w:numPr>
          <w:ilvl w:val="0"/>
          <w:numId w:val="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Решение об оценке стоимости отчуждаемого имущества (ф. 0510442);</w:t>
      </w:r>
    </w:p>
    <w:p w:rsidR="009E2BFF" w:rsidRPr="003E0CC9" w:rsidRDefault="00BD1492" w:rsidP="003E0CC9">
      <w:pPr>
        <w:numPr>
          <w:ilvl w:val="0"/>
          <w:numId w:val="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Акт о списании объектов НФА (ф. 0504104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или ф. 0510454);</w:t>
      </w:r>
    </w:p>
    <w:p w:rsidR="009E2BFF" w:rsidRPr="003E0CC9" w:rsidRDefault="00BD1492" w:rsidP="003E0CC9">
      <w:pPr>
        <w:numPr>
          <w:ilvl w:val="0"/>
          <w:numId w:val="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Акт о списании транспортного средства (ф. 0510456);</w:t>
      </w:r>
    </w:p>
    <w:p w:rsidR="009E2BFF" w:rsidRPr="003E0CC9" w:rsidRDefault="00BD1492" w:rsidP="003E0CC9">
      <w:pPr>
        <w:numPr>
          <w:ilvl w:val="0"/>
          <w:numId w:val="2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Акт о списании материальных запасов (ф. 0504230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или ф. 0510460);</w:t>
      </w:r>
    </w:p>
    <w:p w:rsidR="009E2BFF" w:rsidRPr="003E0CC9" w:rsidRDefault="00BD1492" w:rsidP="003E0CC9">
      <w:pPr>
        <w:numPr>
          <w:ilvl w:val="0"/>
          <w:numId w:val="2"/>
        </w:numPr>
        <w:tabs>
          <w:tab w:val="clear" w:pos="720"/>
          <w:tab w:val="num" w:pos="426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Акт об утилизации (уничтожении) материальных ценностей (ф. 0510435).</w:t>
      </w:r>
    </w:p>
    <w:p w:rsidR="009E2BFF" w:rsidRPr="003E0CC9" w:rsidRDefault="00BD1492" w:rsidP="003E0CC9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3.3. Комиссия осуществляет контроль за:</w:t>
      </w:r>
    </w:p>
    <w:p w:rsidR="009E2BFF" w:rsidRPr="003E0CC9" w:rsidRDefault="00BD1492" w:rsidP="003E0CC9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3.3.1. Изъятием из списываемых основных средств пригодных узлов, деталей, конструкций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материалов, драгоценных металлов и камней, цветных металлов.</w:t>
      </w:r>
    </w:p>
    <w:p w:rsidR="009E2BFF" w:rsidRPr="003E0CC9" w:rsidRDefault="00BD1492" w:rsidP="003E0CC9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3.3.2. Сдачей вторичного сырья в организации приема вторичного сырья.</w:t>
      </w:r>
    </w:p>
    <w:p w:rsidR="009E2BFF" w:rsidRPr="003E0CC9" w:rsidRDefault="00BD1492" w:rsidP="003E0CC9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3.3.3. Получением от специализированной организации по утилизации имущества акта приема-сдачи имущества, подлежащего уничтожению, акта об оказанных услугах по уничтожению имущества, акта об уничтожении.</w:t>
      </w:r>
    </w:p>
    <w:p w:rsidR="009E2BFF" w:rsidRPr="003E0CC9" w:rsidRDefault="00BD1492" w:rsidP="003E0CC9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3.4. Уполномоченный член Комиссии контролирует нанесение материально ответственным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лицом присвоенных объектам основных средств инвентарных номеров, а также маркировку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мягкого инвентаря и иных объектов материальных запасов с учетом требований.</w:t>
      </w:r>
    </w:p>
    <w:p w:rsidR="009E2BFF" w:rsidRPr="003E0CC9" w:rsidRDefault="00BD1492" w:rsidP="003E0CC9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принятия решений по нефинансовым активам</w:t>
      </w:r>
    </w:p>
    <w:p w:rsidR="009E2BFF" w:rsidRPr="003E0CC9" w:rsidRDefault="00BD1492" w:rsidP="003E0CC9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4.1. Решение Комиссии об отнесении объекта имущества к основным средствам,</w:t>
      </w:r>
      <w:r w:rsidRPr="003E0CC9">
        <w:rPr>
          <w:lang w:val="ru-RU"/>
        </w:rPr>
        <w:br/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материальным запасам, нематериальным активам и неисключительным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правам на них, а также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сроках использования активов осуществляется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Инструкцией № 157н, положениями стандартов «Основные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средства»,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 xml:space="preserve"> «Нематериальные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активы» и учетной политикой учреждения, иными нормативными правовыми актами.</w:t>
      </w:r>
    </w:p>
    <w:p w:rsidR="009E2BFF" w:rsidRPr="003E0CC9" w:rsidRDefault="00BD1492" w:rsidP="003E0CC9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4.2. При принятии к учету объектов имущества Комиссия проверяет наличие сопроводительных документов, технической документации, а также производит инвентаризацию приспособлений, принадлежностей, составных частей поступающего имущества в соответствии с данными указанных документов.</w:t>
      </w:r>
    </w:p>
    <w:p w:rsidR="009E2BFF" w:rsidRPr="003E0CC9" w:rsidRDefault="00BD1492" w:rsidP="003E0CC9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выявления товаров ненадлежащего качества при их приемке Комиссия оформляет Акт приемки. Если приемка </w:t>
      </w:r>
      <w:proofErr w:type="spellStart"/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матценностей</w:t>
      </w:r>
      <w:proofErr w:type="spellEnd"/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 xml:space="preserve"> не проходит через ЕИС, вместо Акта (ф. 0504220) используйте Акт приемки (ф. 0510452).</w:t>
      </w:r>
    </w:p>
    <w:p w:rsidR="009E2BFF" w:rsidRPr="003E0CC9" w:rsidRDefault="00BD1492" w:rsidP="003E0CC9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4.3. Решение Комиссии о сроке их полезного использования, об отнесении к соответствующей группе аналитического учета, определении кода ОКОФ и начисления амортизации принимается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на основании:</w:t>
      </w:r>
    </w:p>
    <w:p w:rsidR="009E2BFF" w:rsidRPr="003E0CC9" w:rsidRDefault="00BD1492" w:rsidP="003E0CC9">
      <w:pPr>
        <w:numPr>
          <w:ilvl w:val="0"/>
          <w:numId w:val="3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информации, содержащейся в законодательстве РФ, устанавливающем сроки полезного использования имущества в целях начисления амортизации.</w:t>
      </w:r>
    </w:p>
    <w:p w:rsidR="009E2BFF" w:rsidRPr="003E0CC9" w:rsidRDefault="00BD1492" w:rsidP="003E0CC9">
      <w:pPr>
        <w:numPr>
          <w:ilvl w:val="0"/>
          <w:numId w:val="3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по объектам основных средств,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включенным в амортизационные группы с первой по девятую, срок полезного использования определяется по наибольшему сроку, установленному для указанных амортизационных групп;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10-ю амортизационную группу – срок полезного использования рассчитывается исходя из Единых норм амортизационных отчислений на полное восстановление основных фондов народного хозяйства СССР;</w:t>
      </w:r>
    </w:p>
    <w:p w:rsidR="009E2BFF" w:rsidRPr="003E0CC9" w:rsidRDefault="00BD1492" w:rsidP="003E0CC9">
      <w:pPr>
        <w:numPr>
          <w:ilvl w:val="0"/>
          <w:numId w:val="3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рекомендаций, содержащихся в документах производителя, на основании решения Комиссии,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принятого с учетом ожидаемой производительности или мощности, ожидаемого физического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износа, зависящих от режима эксплуатации, естественных условий и влияния агрессивной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среды, системы проведения ремонта, гарантийного и договорного срока использования и других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ограничений использования;</w:t>
      </w:r>
    </w:p>
    <w:p w:rsidR="009E2BFF" w:rsidRPr="003E0CC9" w:rsidRDefault="00BD1492" w:rsidP="003E0CC9">
      <w:pPr>
        <w:numPr>
          <w:ilvl w:val="0"/>
          <w:numId w:val="3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данных предыдущих балансодержателей (пользователей) основных средств и нематериальных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активов о сроке их фактической эксплуатации и степени износа – при поступлении объектов,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бывших в эксплуатации в государственных (муниципальных) учреждениях, государственных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органах (указанных в актах приема-передачи);</w:t>
      </w:r>
    </w:p>
    <w:p w:rsidR="009E2BFF" w:rsidRPr="003E0CC9" w:rsidRDefault="00BD1492" w:rsidP="003E0CC9">
      <w:pPr>
        <w:numPr>
          <w:ilvl w:val="0"/>
          <w:numId w:val="3"/>
        </w:numPr>
        <w:tabs>
          <w:tab w:val="clear" w:pos="720"/>
          <w:tab w:val="num" w:pos="426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информации о сроках действия патентов, свидетельств и других ограничений сроков использования объектов интеллектуальной собственности согласно законодательству РФ, об ожидаемом сроке их использования при определении срока полезного использования нематериальных активов.</w:t>
      </w:r>
    </w:p>
    <w:p w:rsidR="009E2BFF" w:rsidRPr="003E0CC9" w:rsidRDefault="00BD1492" w:rsidP="003E0CC9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4.4. Если в отношении нематериальных активов комиссия не может определить срок использования, он считается неопределенным.</w:t>
      </w:r>
    </w:p>
    <w:p w:rsidR="009E2BFF" w:rsidRPr="003E0CC9" w:rsidRDefault="00BD1492" w:rsidP="003E0CC9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Ежегодно во время инвентаризации комиссия пересматривает сроки полезного использования по каждому объекту нематериальных активов.</w:t>
      </w:r>
    </w:p>
    <w:p w:rsidR="009E2BFF" w:rsidRPr="003E0CC9" w:rsidRDefault="00BD1492" w:rsidP="003E0CC9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Срок полезного использования неисключительных прав комиссия определяет исходя из:</w:t>
      </w:r>
    </w:p>
    <w:p w:rsidR="009E2BFF" w:rsidRPr="003E0CC9" w:rsidRDefault="00BD1492" w:rsidP="003E0CC9">
      <w:pPr>
        <w:numPr>
          <w:ilvl w:val="0"/>
          <w:numId w:val="4"/>
        </w:numPr>
        <w:tabs>
          <w:tab w:val="clear" w:pos="720"/>
          <w:tab w:val="num" w:pos="709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срока действия прав на результат интеллектуальной деятельности или средство индивидуализации и периода контроля над объектом;</w:t>
      </w:r>
    </w:p>
    <w:p w:rsidR="009E2BFF" w:rsidRPr="003E0CC9" w:rsidRDefault="00BD1492" w:rsidP="003E0CC9">
      <w:pPr>
        <w:numPr>
          <w:ilvl w:val="0"/>
          <w:numId w:val="4"/>
        </w:numPr>
        <w:tabs>
          <w:tab w:val="clear" w:pos="720"/>
          <w:tab w:val="num" w:pos="709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срока действия патента, свидетельства, других ограничений сроков по законодательству;</w:t>
      </w:r>
    </w:p>
    <w:p w:rsidR="009E2BFF" w:rsidRPr="003E0CC9" w:rsidRDefault="00BD1492" w:rsidP="003E0CC9">
      <w:pPr>
        <w:numPr>
          <w:ilvl w:val="0"/>
          <w:numId w:val="4"/>
        </w:numPr>
        <w:tabs>
          <w:tab w:val="clear" w:pos="720"/>
          <w:tab w:val="num" w:pos="709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ожидаемого срока использования актива, в течение которого планируете использовать его в деятельности или получать экономические выгоды;</w:t>
      </w:r>
    </w:p>
    <w:p w:rsidR="009E2BFF" w:rsidRPr="003E0CC9" w:rsidRDefault="00BD1492" w:rsidP="003E0CC9">
      <w:pPr>
        <w:numPr>
          <w:ilvl w:val="0"/>
          <w:numId w:val="4"/>
        </w:numPr>
        <w:tabs>
          <w:tab w:val="clear" w:pos="720"/>
          <w:tab w:val="num" w:pos="709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типичного жизненного цикла для актива и публичной информации о сроках службы аналогичных объектов;</w:t>
      </w:r>
    </w:p>
    <w:p w:rsidR="009E2BFF" w:rsidRPr="003E0CC9" w:rsidRDefault="00BD1492" w:rsidP="003E0CC9">
      <w:pPr>
        <w:numPr>
          <w:ilvl w:val="0"/>
          <w:numId w:val="4"/>
        </w:numPr>
        <w:tabs>
          <w:tab w:val="clear" w:pos="720"/>
          <w:tab w:val="num" w:pos="709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технологических, технических и других типов устаревания.</w:t>
      </w:r>
    </w:p>
    <w:p w:rsidR="009E2BFF" w:rsidRPr="003E0CC9" w:rsidRDefault="00BD1492" w:rsidP="003E0CC9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Если анализ всех факторов не позволил установить точный период, когда объект будет приносить экономические выгоды и полезный потенциал, комиссия признает срок неопределенным. Далее каждый год во время инвентаризации комиссия проверяет факторы, по которым ранее определяла срок использования. Если обстоятельства и условия изменились, комиссия уточняет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срок службы.</w:t>
      </w:r>
    </w:p>
    <w:p w:rsidR="009E2BFF" w:rsidRPr="003E0CC9" w:rsidRDefault="00BD1492" w:rsidP="003E0CC9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4.6. Решение Комиссии о первоначальной (фактической) стоимости поступающих в учреждение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на праве оперативного управления объектов нефинансовых активов принимается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основании следующих документов:</w:t>
      </w:r>
    </w:p>
    <w:p w:rsidR="009E2BFF" w:rsidRDefault="00BD1492" w:rsidP="003E0CC9">
      <w:pPr>
        <w:numPr>
          <w:ilvl w:val="0"/>
          <w:numId w:val="5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сопроводительной и технической документации (государственных контрактов, договоров, накладных поставщика, счетов-фактур, актов о приемке выполненных работ (услуг), паспортов,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гарантийных талонов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п.), которая представляется материально ответственным лицом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 xml:space="preserve">копиях либо – по требованию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подлинниках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2BFF" w:rsidRPr="003E0CC9" w:rsidRDefault="00BD1492" w:rsidP="003E0CC9">
      <w:pPr>
        <w:numPr>
          <w:ilvl w:val="0"/>
          <w:numId w:val="5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представленных предыдущим балансодержателем (по безвозмездно полученным основным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средствам и нематериальным активам);</w:t>
      </w:r>
    </w:p>
    <w:p w:rsidR="009E2BFF" w:rsidRPr="003E0CC9" w:rsidRDefault="00BD1492" w:rsidP="003E0CC9">
      <w:pPr>
        <w:numPr>
          <w:ilvl w:val="0"/>
          <w:numId w:val="5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отчетов об оценке независимых оценщиков;</w:t>
      </w:r>
    </w:p>
    <w:p w:rsidR="009E2BFF" w:rsidRPr="003E0CC9" w:rsidRDefault="00BD1492" w:rsidP="003E0CC9">
      <w:pPr>
        <w:numPr>
          <w:ilvl w:val="0"/>
          <w:numId w:val="5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данных о ценах на аналогичные материальные ценности, полученных в письменной форме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организаций-изготовителей;</w:t>
      </w:r>
    </w:p>
    <w:p w:rsidR="009E2BFF" w:rsidRPr="003E0CC9" w:rsidRDefault="00BD1492" w:rsidP="003E0CC9">
      <w:pPr>
        <w:numPr>
          <w:ilvl w:val="0"/>
          <w:numId w:val="5"/>
        </w:numPr>
        <w:tabs>
          <w:tab w:val="clear" w:pos="720"/>
          <w:tab w:val="num" w:pos="426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сведений об уровне цен, имеющихся у органов государственной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статистики, торговых инспекций, а также в средствах массовой информации и специальной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литературе, экспертных заключениях (в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экспертов, привлеченных на добровольных началах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к работе в Комиссии).</w:t>
      </w:r>
    </w:p>
    <w:p w:rsidR="009E2BFF" w:rsidRPr="003E0CC9" w:rsidRDefault="00BD1492" w:rsidP="003E0CC9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4.7. Решение Комиссии о списании (выбытии) основных средств, нематериальных активов,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материальных запасов принимается после выполнения следующих мероприятий:</w:t>
      </w:r>
    </w:p>
    <w:p w:rsidR="009E2BFF" w:rsidRPr="003E0CC9" w:rsidRDefault="00BD1492" w:rsidP="003E0CC9">
      <w:pPr>
        <w:numPr>
          <w:ilvl w:val="0"/>
          <w:numId w:val="6"/>
        </w:numPr>
        <w:tabs>
          <w:tab w:val="clear" w:pos="720"/>
          <w:tab w:val="num" w:pos="567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непосредственный осмотр основных средств (при их наличии), определение их технического состояния и возможности дальнейшего применения по назначению с использованием необходимой технической документации (технический паспорт, проект, чертежи, технические условия, инструкции по эксплуатации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п.), данных бухгалтерского учета и установление их непригодности к восстановлению и дальнейшему использованию либо нецелесообразности дальнейшего восстановления и (или) использования;</w:t>
      </w:r>
    </w:p>
    <w:p w:rsidR="009E2BFF" w:rsidRPr="003E0CC9" w:rsidRDefault="00BD1492" w:rsidP="003E0CC9">
      <w:pPr>
        <w:numPr>
          <w:ilvl w:val="0"/>
          <w:numId w:val="6"/>
        </w:numPr>
        <w:tabs>
          <w:tab w:val="clear" w:pos="720"/>
          <w:tab w:val="num" w:pos="567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рассмотрение документов, подтверждающих преждевременное выбытие имущества из владения, пользования и распоряжения вследствие его гибели или уничтожения, в том числе помимо воли обладателя права на оперативное управление;</w:t>
      </w:r>
    </w:p>
    <w:p w:rsidR="009E2BFF" w:rsidRPr="003E0CC9" w:rsidRDefault="00BD1492" w:rsidP="003E0CC9">
      <w:pPr>
        <w:numPr>
          <w:ilvl w:val="0"/>
          <w:numId w:val="6"/>
        </w:numPr>
        <w:tabs>
          <w:tab w:val="clear" w:pos="720"/>
          <w:tab w:val="num" w:pos="567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установление конкретных причин списания (выбытия) (износ физический, моральный,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авария,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 xml:space="preserve">нарушение условий содержания </w:t>
      </w:r>
      <w:proofErr w:type="gramStart"/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 xml:space="preserve"> эксплуатации</w:t>
      </w:r>
      <w:proofErr w:type="gramEnd"/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, ликвидация при реконструкции,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длительное неиспользование имущества, другие причины);</w:t>
      </w:r>
    </w:p>
    <w:p w:rsidR="009E2BFF" w:rsidRPr="003E0CC9" w:rsidRDefault="00BD1492" w:rsidP="003E0CC9">
      <w:pPr>
        <w:numPr>
          <w:ilvl w:val="0"/>
          <w:numId w:val="6"/>
        </w:numPr>
        <w:tabs>
          <w:tab w:val="clear" w:pos="720"/>
          <w:tab w:val="num" w:pos="567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выявление лиц, по вине которых произошло преждевременное выбытие, и вынесении предложений о привлечении этих лиц к ответственности, установленной законодательством;</w:t>
      </w:r>
    </w:p>
    <w:p w:rsidR="009E2BFF" w:rsidRPr="003E0CC9" w:rsidRDefault="00BD1492" w:rsidP="003E0CC9">
      <w:pPr>
        <w:numPr>
          <w:ilvl w:val="0"/>
          <w:numId w:val="6"/>
        </w:numPr>
        <w:tabs>
          <w:tab w:val="clear" w:pos="720"/>
          <w:tab w:val="num" w:pos="567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поручение ответственным исполнителям учреждения подготовки экспертного заключения о техническом состоянии основных средств, подлежащих списанию, или составление дефектной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ведомости на оборудование, находящееся в эксплуатации, а также на производственный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хозяйственный инвентарь;</w:t>
      </w:r>
    </w:p>
    <w:p w:rsidR="009E2BFF" w:rsidRPr="003E0CC9" w:rsidRDefault="00BD1492" w:rsidP="003E0CC9">
      <w:pPr>
        <w:numPr>
          <w:ilvl w:val="0"/>
          <w:numId w:val="6"/>
        </w:numPr>
        <w:tabs>
          <w:tab w:val="clear" w:pos="720"/>
          <w:tab w:val="num" w:pos="567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определение возможности использования отдельных узлов, деталей, конструкций материалов, выбывающих основных средств и их оценка на дату принятия к учету.</w:t>
      </w:r>
    </w:p>
    <w:p w:rsidR="009E2BFF" w:rsidRPr="003E0CC9" w:rsidRDefault="00BD1492" w:rsidP="003E0CC9">
      <w:pPr>
        <w:ind w:left="142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4.8. Решение Комиссии о списании (выбытии) основных средств принимается с учетом наличия:</w:t>
      </w:r>
    </w:p>
    <w:p w:rsidR="009E2BFF" w:rsidRPr="003E0CC9" w:rsidRDefault="00BD1492" w:rsidP="003E0CC9">
      <w:pPr>
        <w:numPr>
          <w:ilvl w:val="0"/>
          <w:numId w:val="7"/>
        </w:numPr>
        <w:ind w:left="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технического заключения о состоянии основных средств, подлежащих списанию, или дефектной ведомости на оборудование, находящееся в эксплуатации, а также на производственный и хозяйственный инвентарь – при списании основных средств, не пригодных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использованию по назначению;</w:t>
      </w:r>
    </w:p>
    <w:p w:rsidR="009E2BFF" w:rsidRPr="003E0CC9" w:rsidRDefault="00BD1492" w:rsidP="003E0CC9">
      <w:pPr>
        <w:numPr>
          <w:ilvl w:val="0"/>
          <w:numId w:val="7"/>
        </w:numPr>
        <w:ind w:left="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драгоценных металлов и драгоценных камней, содержащихся в списываемых основных средствах, которые учитываются в порядке, установленном приказом Минфина от 09.12.2016 № 231н «Об утверждении Инструкции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обращении»;</w:t>
      </w:r>
    </w:p>
    <w:p w:rsidR="009E2BFF" w:rsidRPr="003E0CC9" w:rsidRDefault="00BD1492" w:rsidP="003E0CC9">
      <w:pPr>
        <w:numPr>
          <w:ilvl w:val="0"/>
          <w:numId w:val="7"/>
        </w:numPr>
        <w:ind w:left="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акта об аварии или заверенной его копии, а также пояснений причастных лиц о причинах, вызвавших аварию, – при списании основных средств, выбывших вследствие аварий;</w:t>
      </w:r>
    </w:p>
    <w:p w:rsidR="009E2BFF" w:rsidRPr="003E0CC9" w:rsidRDefault="00BD1492" w:rsidP="003E0CC9">
      <w:pPr>
        <w:numPr>
          <w:ilvl w:val="0"/>
          <w:numId w:val="7"/>
        </w:numPr>
        <w:ind w:left="142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иных документов, подтверждающих факт преждевременного выбытия имущества из владения,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пользования и распоряжения.</w:t>
      </w:r>
    </w:p>
    <w:p w:rsidR="009E2BFF" w:rsidRPr="003E0CC9" w:rsidRDefault="00BD1492" w:rsidP="003E0CC9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4.9.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При принятии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выбытии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нематериальных активов комиссия руководствуется следующими критериями:</w:t>
      </w:r>
    </w:p>
    <w:p w:rsidR="009E2BFF" w:rsidRPr="003E0CC9" w:rsidRDefault="00BD1492" w:rsidP="003E0CC9">
      <w:pPr>
        <w:numPr>
          <w:ilvl w:val="0"/>
          <w:numId w:val="8"/>
        </w:numPr>
        <w:tabs>
          <w:tab w:val="clear" w:pos="720"/>
          <w:tab w:val="num" w:pos="567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учреждение передало все существенные операционные риски и выгоды, связанные с распоряжением (владением, пользованием) активом;</w:t>
      </w:r>
    </w:p>
    <w:p w:rsidR="009E2BFF" w:rsidRPr="003E0CC9" w:rsidRDefault="00BD1492" w:rsidP="003E0CC9">
      <w:pPr>
        <w:numPr>
          <w:ilvl w:val="0"/>
          <w:numId w:val="8"/>
        </w:numPr>
        <w:tabs>
          <w:tab w:val="clear" w:pos="720"/>
          <w:tab w:val="num" w:pos="567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больше не участвует в распоряжении выбывшим объектом в той степени, которая определяется предоставленными правами при признании объекта нематериальных активов, а также в его реальном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использовании;</w:t>
      </w:r>
    </w:p>
    <w:p w:rsidR="009E2BFF" w:rsidRPr="003E0CC9" w:rsidRDefault="00BD1492" w:rsidP="003E0CC9">
      <w:pPr>
        <w:numPr>
          <w:ilvl w:val="0"/>
          <w:numId w:val="8"/>
        </w:numPr>
        <w:tabs>
          <w:tab w:val="clear" w:pos="720"/>
          <w:tab w:val="num" w:pos="567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величина дохода/расхода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от выбытия объекта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может быть надежно оценена;</w:t>
      </w:r>
    </w:p>
    <w:p w:rsidR="009E2BFF" w:rsidRPr="003E0CC9" w:rsidRDefault="00BD1492" w:rsidP="003E0CC9">
      <w:pPr>
        <w:numPr>
          <w:ilvl w:val="0"/>
          <w:numId w:val="8"/>
        </w:numPr>
        <w:tabs>
          <w:tab w:val="clear" w:pos="720"/>
          <w:tab w:val="num" w:pos="567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прогнозируемые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экономические выгоды или полезный потенциал, связанные с объектом нематериальных активов, а также понесенные или ожидаемые затраты, связанные с операцией с объектом, могут быть надежно оценены.</w:t>
      </w:r>
    </w:p>
    <w:p w:rsidR="009E2BFF" w:rsidRPr="003E0CC9" w:rsidRDefault="00BD1492" w:rsidP="003E0CC9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4.10. В целях согласования решения о списании недвижимого и особо ценного движимого имущества, закрепленного за учреждением или приобретенного за счет средств, выделенных учредителем, Комиссия подготавливает и направляет учредителю следующие документы:</w:t>
      </w:r>
    </w:p>
    <w:p w:rsidR="009E2BFF" w:rsidRPr="003E0CC9" w:rsidRDefault="00BD1492" w:rsidP="003E0CC9">
      <w:pPr>
        <w:numPr>
          <w:ilvl w:val="0"/>
          <w:numId w:val="9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перечень объектов имущества, решение о списании которых подлежит согласованию;</w:t>
      </w:r>
    </w:p>
    <w:p w:rsidR="009E2BFF" w:rsidRPr="003E0CC9" w:rsidRDefault="00BD1492" w:rsidP="003E0CC9">
      <w:pPr>
        <w:numPr>
          <w:ilvl w:val="0"/>
          <w:numId w:val="9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копию протокола заседания постоянно действующей Комиссии по подготовке и принятию решения о списании объектов имущества;</w:t>
      </w:r>
    </w:p>
    <w:p w:rsidR="009E2BFF" w:rsidRPr="003E0CC9" w:rsidRDefault="00BD1492" w:rsidP="003E0CC9">
      <w:pPr>
        <w:numPr>
          <w:ilvl w:val="0"/>
          <w:numId w:val="9"/>
        </w:numPr>
        <w:tabs>
          <w:tab w:val="clear" w:pos="720"/>
          <w:tab w:val="num" w:pos="426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акты о списании имущества и прочие оправдательные документы.</w:t>
      </w:r>
    </w:p>
    <w:p w:rsidR="009E2BFF" w:rsidRPr="003E0CC9" w:rsidRDefault="00BD1492" w:rsidP="003E0CC9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Акты о списании недвижимого имущества, а также особо ценного движимого имущества составляются в трех экземплярах, подписываются Комиссией и направляются для согласования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нормативной базой, после чего утверждаются руководителем учреждения.</w:t>
      </w:r>
    </w:p>
    <w:p w:rsidR="009E2BFF" w:rsidRPr="003E0CC9" w:rsidRDefault="00BD1492" w:rsidP="003E0CC9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Акты о списании иного движимого имущества (за исключением особо ценного), составляются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менее чем в двух экземплярах и утверждаются руководителем учреждения самостоятельно.</w:t>
      </w:r>
    </w:p>
    <w:p w:rsidR="009E2BFF" w:rsidRPr="003E0CC9" w:rsidRDefault="00BD1492" w:rsidP="003E0CC9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4.11. Решение Комиссии, принятое на заседании, оформляется протоколом, который</w:t>
      </w:r>
      <w:r w:rsidRPr="003E0CC9">
        <w:rPr>
          <w:lang w:val="ru-RU"/>
        </w:rPr>
        <w:br/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подписывают председатель и члены Комиссии и утверждает руководитель учреждения.</w:t>
      </w:r>
    </w:p>
    <w:p w:rsidR="009E2BFF" w:rsidRPr="003E0CC9" w:rsidRDefault="00BD1492" w:rsidP="003E0CC9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4.12. Оформленные в установленном порядке документы Комиссия передает в бухгалтерию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отражения в учете.</w:t>
      </w:r>
    </w:p>
    <w:p w:rsidR="009E2BFF" w:rsidRPr="003E0CC9" w:rsidRDefault="00BD1492" w:rsidP="003E0CC9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4.13. Протоколы Комиссии хранятся в соответствии с Законом от 22.10.2004 № 125-ФЗ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архивном деле в Российской Федерации».</w:t>
      </w:r>
    </w:p>
    <w:p w:rsidR="009E2BFF" w:rsidRPr="003E0CC9" w:rsidRDefault="00BD1492" w:rsidP="003E0CC9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принятия решений по дебиторской задолженности</w:t>
      </w:r>
    </w:p>
    <w:p w:rsidR="009E2BFF" w:rsidRPr="003E0CC9" w:rsidRDefault="00BD1492" w:rsidP="003E0CC9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Комиссия проводит заседание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о признании дебиторской задолженности сомнительной или безнадежной на основании результатов инвентаризации дебиторской задолженности, если инвентаризационная комиссия дала рекомендацию списать задолженность.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Заседание комиссии проводится на следующий рабочий день после поступления инвентаризационной описи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 xml:space="preserve">расчетов с покупателями, поставщиками и </w:t>
      </w:r>
      <w:proofErr w:type="gramStart"/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прочими дебиторами</w:t>
      </w:r>
      <w:proofErr w:type="gramEnd"/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 xml:space="preserve"> и кредиторами (ф. 0504089).</w:t>
      </w:r>
    </w:p>
    <w:p w:rsidR="009E2BFF" w:rsidRPr="003E0CC9" w:rsidRDefault="00BD1492" w:rsidP="00CB4975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5.2. По результатам заседания Комиссия принимает одно из решений:</w:t>
      </w:r>
    </w:p>
    <w:p w:rsidR="009E2BFF" w:rsidRPr="003E0CC9" w:rsidRDefault="00BD1492" w:rsidP="00CB4975">
      <w:pPr>
        <w:numPr>
          <w:ilvl w:val="0"/>
          <w:numId w:val="10"/>
        </w:numPr>
        <w:tabs>
          <w:tab w:val="clear" w:pos="1353"/>
          <w:tab w:val="num" w:pos="426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признать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 xml:space="preserve">дебиторскую задолженность сомнительной, списать с учета и продолжить наблюдение на </w:t>
      </w:r>
      <w:proofErr w:type="spellStart"/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забалансовом</w:t>
      </w:r>
      <w:proofErr w:type="spellEnd"/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счете,</w:t>
      </w:r>
    </w:p>
    <w:p w:rsidR="009E2BFF" w:rsidRPr="003E0CC9" w:rsidRDefault="00BD1492" w:rsidP="00CB4975">
      <w:pPr>
        <w:numPr>
          <w:ilvl w:val="0"/>
          <w:numId w:val="10"/>
        </w:numPr>
        <w:tabs>
          <w:tab w:val="clear" w:pos="1353"/>
          <w:tab w:val="num" w:pos="426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признать дебиторскую задолженность безнадежной к взысканию и списать с учета;</w:t>
      </w:r>
    </w:p>
    <w:p w:rsidR="009E2BFF" w:rsidRPr="003E0CC9" w:rsidRDefault="00BD1492" w:rsidP="00CB4975">
      <w:pPr>
        <w:numPr>
          <w:ilvl w:val="0"/>
          <w:numId w:val="10"/>
        </w:numPr>
        <w:tabs>
          <w:tab w:val="clear" w:pos="1353"/>
          <w:tab w:val="num" w:pos="426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отказать в признании задолженности сомнительной или безнадежной к взысканию.</w:t>
      </w:r>
    </w:p>
    <w:p w:rsidR="009E2BFF" w:rsidRPr="003E0CC9" w:rsidRDefault="00BD1492" w:rsidP="00CB4975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Для этого комиссия проводит анализ документов, приложенных к инвентаризационной описи, при необходимости комиссия запрашивает у главного бухгалтера выписки из отчетности, пояснения о мерах, принятых для взыскания задолженности.</w:t>
      </w:r>
    </w:p>
    <w:p w:rsidR="009E2BFF" w:rsidRPr="003E0CC9" w:rsidRDefault="00BD1492" w:rsidP="003E0CC9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На основании полученных документов комиссия устанавливает факт возникновения обстоятельств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признания дебиторской задолженности сомнительной или безнадежной к взысканию, в том числе путем изучения информации в сети Интернет на сайтах и сервисах государственных органов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– ФНС, СФР, Росстата, судебных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других органов.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запрашивает официальные документы в государственных органах.</w:t>
      </w:r>
    </w:p>
    <w:p w:rsidR="009E2BFF" w:rsidRPr="003E0CC9" w:rsidRDefault="00BD1492" w:rsidP="003E0CC9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5.3. Если задолженность признана сомнительной, комиссия указывает в решении дату окончания срока возможного возобновления процедуры взыскания.</w:t>
      </w:r>
    </w:p>
    <w:p w:rsidR="009E2BFF" w:rsidRPr="003E0CC9" w:rsidRDefault="00BD1492" w:rsidP="003E0CC9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5.4. В случае разногласия мнений членов комиссии принимается решение об отказе в признании дебиторской задолженности сомнительной или безнадежной к взысканию.</w:t>
      </w:r>
    </w:p>
    <w:p w:rsidR="009E2BFF" w:rsidRPr="003E0CC9" w:rsidRDefault="00BD1492" w:rsidP="00CB4975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5.5. Решение комиссии по поступлению и выбытию активов о признании задолженности сомнительной или безнадежной к взысканию оформляется актом, который содержит следующую информацию:</w:t>
      </w:r>
    </w:p>
    <w:p w:rsidR="009E2BFF" w:rsidRDefault="00BD1492" w:rsidP="00CB4975">
      <w:pPr>
        <w:numPr>
          <w:ilvl w:val="0"/>
          <w:numId w:val="11"/>
        </w:numPr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наименование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учреждения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E2BFF" w:rsidRPr="003E0CC9" w:rsidRDefault="00BD1492" w:rsidP="00CB4975">
      <w:pPr>
        <w:numPr>
          <w:ilvl w:val="0"/>
          <w:numId w:val="11"/>
        </w:numPr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идентификационный номер налогоплательщика, основной государственный регистрационный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номер, код причины постановки на учет налогоплательщика;</w:t>
      </w:r>
    </w:p>
    <w:p w:rsidR="009E2BFF" w:rsidRPr="003E0CC9" w:rsidRDefault="00BD1492" w:rsidP="00CB4975">
      <w:pPr>
        <w:numPr>
          <w:ilvl w:val="0"/>
          <w:numId w:val="11"/>
        </w:numPr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реквизиты документов, по которым возникла дебиторская задолженность, – платежных документов, накладных, актов выполненных работ и т. д.;</w:t>
      </w:r>
    </w:p>
    <w:p w:rsidR="009E2BFF" w:rsidRPr="003E0CC9" w:rsidRDefault="00BD1492" w:rsidP="00CB4975">
      <w:pPr>
        <w:numPr>
          <w:ilvl w:val="0"/>
          <w:numId w:val="11"/>
        </w:numPr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сумма дебиторской задолженности, признанной сомнительной или безнадежной к взысканию;</w:t>
      </w:r>
    </w:p>
    <w:p w:rsidR="009E2BFF" w:rsidRPr="003E0CC9" w:rsidRDefault="00BD1492" w:rsidP="00CB4975">
      <w:pPr>
        <w:numPr>
          <w:ilvl w:val="0"/>
          <w:numId w:val="11"/>
        </w:numPr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дата принятия решения о признании дебиторской задолженности сомнительной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безнадежной к взысканию;</w:t>
      </w:r>
    </w:p>
    <w:p w:rsidR="009E2BFF" w:rsidRDefault="00BD1492" w:rsidP="00CB4975">
      <w:pPr>
        <w:numPr>
          <w:ilvl w:val="0"/>
          <w:numId w:val="11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подписи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членов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 </w:t>
      </w:r>
    </w:p>
    <w:p w:rsidR="009E2BFF" w:rsidRPr="003E0CC9" w:rsidRDefault="00BD1492" w:rsidP="00990617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Решение комиссии о признании дебиторской задолженности сомнительной или безнадежной к взысканию утверждается руководителем </w:t>
      </w:r>
      <w:r w:rsidR="00CB4975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3E0C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9E2BFF" w:rsidRPr="003E0CC9" w:rsidSect="002705DA">
      <w:footerReference w:type="default" r:id="rId7"/>
      <w:pgSz w:w="11907" w:h="16839"/>
      <w:pgMar w:top="567" w:right="708" w:bottom="993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469" w:rsidRDefault="00967469" w:rsidP="00E442B7">
      <w:pPr>
        <w:spacing w:before="0" w:after="0"/>
      </w:pPr>
      <w:r>
        <w:separator/>
      </w:r>
    </w:p>
  </w:endnote>
  <w:endnote w:type="continuationSeparator" w:id="0">
    <w:p w:rsidR="00967469" w:rsidRDefault="00967469" w:rsidP="00E442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6480649"/>
      <w:docPartObj>
        <w:docPartGallery w:val="Page Numbers (Bottom of Page)"/>
        <w:docPartUnique/>
      </w:docPartObj>
    </w:sdtPr>
    <w:sdtEndPr/>
    <w:sdtContent>
      <w:p w:rsidR="00E442B7" w:rsidRDefault="00E442B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7D9" w:rsidRPr="00A757D9">
          <w:rPr>
            <w:noProof/>
            <w:lang w:val="ru-RU"/>
          </w:rPr>
          <w:t>1</w:t>
        </w:r>
        <w:r>
          <w:fldChar w:fldCharType="end"/>
        </w:r>
      </w:p>
    </w:sdtContent>
  </w:sdt>
  <w:p w:rsidR="00E442B7" w:rsidRDefault="00E442B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469" w:rsidRDefault="00967469" w:rsidP="00E442B7">
      <w:pPr>
        <w:spacing w:before="0" w:after="0"/>
      </w:pPr>
      <w:r>
        <w:separator/>
      </w:r>
    </w:p>
  </w:footnote>
  <w:footnote w:type="continuationSeparator" w:id="0">
    <w:p w:rsidR="00967469" w:rsidRDefault="00967469" w:rsidP="00E442B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C3F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73E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23B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72C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A642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1E53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F649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FC07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4565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2F1D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BA6C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10"/>
  </w:num>
  <w:num w:numId="7">
    <w:abstractNumId w:val="0"/>
  </w:num>
  <w:num w:numId="8">
    <w:abstractNumId w:val="5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705DA"/>
    <w:rsid w:val="002D33B1"/>
    <w:rsid w:val="002D3591"/>
    <w:rsid w:val="00303EE6"/>
    <w:rsid w:val="003514A0"/>
    <w:rsid w:val="00380B26"/>
    <w:rsid w:val="003E0CC9"/>
    <w:rsid w:val="004F7E17"/>
    <w:rsid w:val="005A05CE"/>
    <w:rsid w:val="00653AF6"/>
    <w:rsid w:val="006A1C11"/>
    <w:rsid w:val="007515AF"/>
    <w:rsid w:val="00967469"/>
    <w:rsid w:val="00990617"/>
    <w:rsid w:val="009E2BFF"/>
    <w:rsid w:val="00A23391"/>
    <w:rsid w:val="00A757D9"/>
    <w:rsid w:val="00B73A5A"/>
    <w:rsid w:val="00BD1492"/>
    <w:rsid w:val="00CB4975"/>
    <w:rsid w:val="00E438A1"/>
    <w:rsid w:val="00E442B7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6610F"/>
  <w15:docId w15:val="{5A5BC5B0-BEA4-42A0-8048-CF64F320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515A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15A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42B7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E442B7"/>
  </w:style>
  <w:style w:type="paragraph" w:styleId="a7">
    <w:name w:val="footer"/>
    <w:basedOn w:val="a"/>
    <w:link w:val="a8"/>
    <w:uiPriority w:val="99"/>
    <w:unhideWhenUsed/>
    <w:rsid w:val="00E442B7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E44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3177</Words>
  <Characters>18112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buh1-92</dc:creator>
  <dc:description>Подготовлено экспертами Актион-МЦФЭР</dc:description>
  <cp:lastModifiedBy>buh1-92</cp:lastModifiedBy>
  <cp:revision>8</cp:revision>
  <cp:lastPrinted>2025-05-06T12:44:00Z</cp:lastPrinted>
  <dcterms:created xsi:type="dcterms:W3CDTF">2023-12-13T11:34:00Z</dcterms:created>
  <dcterms:modified xsi:type="dcterms:W3CDTF">2025-12-18T06:36:00Z</dcterms:modified>
</cp:coreProperties>
</file>